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EAB59" w14:textId="51430101" w:rsidR="00C50AD0" w:rsidRPr="00C50AD0" w:rsidRDefault="005B6344" w:rsidP="00C50AD0">
      <w:pPr>
        <w:pStyle w:val="TableParagraph"/>
        <w:tabs>
          <w:tab w:val="left" w:pos="821"/>
          <w:tab w:val="left" w:pos="822"/>
        </w:tabs>
        <w:jc w:val="center"/>
        <w:rPr>
          <w:rFonts w:ascii="Arial" w:hAnsi="Arial" w:cs="Arial"/>
          <w:b/>
        </w:rPr>
      </w:pPr>
      <w:r>
        <w:rPr>
          <w:rFonts w:ascii="Arial" w:hAnsi="Arial" w:cs="Arial"/>
          <w:b/>
        </w:rPr>
        <w:t>Norfolk Safeguarding Children</w:t>
      </w:r>
      <w:r w:rsidR="00C50AD0" w:rsidRPr="00C50AD0">
        <w:rPr>
          <w:rFonts w:ascii="Arial" w:hAnsi="Arial" w:cs="Arial"/>
          <w:b/>
        </w:rPr>
        <w:t xml:space="preserve"> </w:t>
      </w:r>
      <w:r w:rsidR="00811D7C">
        <w:rPr>
          <w:rFonts w:ascii="Arial" w:hAnsi="Arial" w:cs="Arial"/>
          <w:b/>
        </w:rPr>
        <w:t>Partnership</w:t>
      </w:r>
    </w:p>
    <w:p w14:paraId="75B01C5E" w14:textId="77777777" w:rsidR="00C50AD0" w:rsidRPr="00C50AD0" w:rsidRDefault="00C50AD0" w:rsidP="00C50AD0">
      <w:pPr>
        <w:pStyle w:val="TableParagraph"/>
        <w:tabs>
          <w:tab w:val="left" w:pos="821"/>
          <w:tab w:val="left" w:pos="822"/>
        </w:tabs>
        <w:jc w:val="center"/>
        <w:rPr>
          <w:rFonts w:ascii="Arial" w:hAnsi="Arial" w:cs="Arial"/>
          <w:b/>
        </w:rPr>
      </w:pPr>
    </w:p>
    <w:p w14:paraId="003D3458" w14:textId="5FEA33C9" w:rsidR="00C50AD0" w:rsidRDefault="00C50AD0" w:rsidP="00C50AD0">
      <w:pPr>
        <w:pStyle w:val="TableParagraph"/>
        <w:tabs>
          <w:tab w:val="left" w:pos="821"/>
          <w:tab w:val="left" w:pos="822"/>
        </w:tabs>
        <w:jc w:val="center"/>
        <w:rPr>
          <w:rFonts w:ascii="Arial" w:hAnsi="Arial" w:cs="Arial"/>
          <w:b/>
        </w:rPr>
      </w:pPr>
      <w:r w:rsidRPr="00C50AD0">
        <w:rPr>
          <w:rFonts w:ascii="Arial" w:hAnsi="Arial" w:cs="Arial"/>
          <w:b/>
        </w:rPr>
        <w:t>Retention and Destruction Schedule for Information (including personal information) held by the NSC</w:t>
      </w:r>
      <w:r w:rsidR="00811D7C">
        <w:rPr>
          <w:rFonts w:ascii="Arial" w:hAnsi="Arial" w:cs="Arial"/>
          <w:b/>
        </w:rPr>
        <w:t>P</w:t>
      </w:r>
    </w:p>
    <w:p w14:paraId="470DC08D" w14:textId="77777777" w:rsidR="00C50AD0" w:rsidRDefault="00C50AD0" w:rsidP="00C50AD0">
      <w:pPr>
        <w:pStyle w:val="TableParagraph"/>
        <w:tabs>
          <w:tab w:val="left" w:pos="821"/>
          <w:tab w:val="left" w:pos="822"/>
        </w:tabs>
        <w:jc w:val="center"/>
        <w:rPr>
          <w:rFonts w:ascii="Arial" w:hAnsi="Arial" w:cs="Arial"/>
          <w:b/>
        </w:rPr>
      </w:pPr>
    </w:p>
    <w:p w14:paraId="32A54FD4" w14:textId="77777777" w:rsidR="00C50AD0" w:rsidRPr="00C44703" w:rsidRDefault="00C50AD0" w:rsidP="005B6344">
      <w:pPr>
        <w:pStyle w:val="TableParagraph"/>
        <w:tabs>
          <w:tab w:val="left" w:pos="821"/>
          <w:tab w:val="left" w:pos="822"/>
        </w:tabs>
        <w:rPr>
          <w:rFonts w:ascii="Arial" w:hAnsi="Arial" w:cs="Arial"/>
        </w:rPr>
      </w:pPr>
    </w:p>
    <w:p w14:paraId="1D797A8B" w14:textId="611C4AEA" w:rsidR="00C44703" w:rsidRPr="00C44703" w:rsidRDefault="00C44703" w:rsidP="003120FB">
      <w:pPr>
        <w:pStyle w:val="TableParagraph"/>
        <w:tabs>
          <w:tab w:val="left" w:pos="821"/>
          <w:tab w:val="left" w:pos="822"/>
        </w:tabs>
        <w:ind w:left="0" w:firstLine="0"/>
        <w:rPr>
          <w:rFonts w:ascii="Arial" w:hAnsi="Arial" w:cs="Arial"/>
        </w:rPr>
      </w:pPr>
      <w:r w:rsidRPr="00C44703">
        <w:rPr>
          <w:rFonts w:ascii="Arial" w:hAnsi="Arial" w:cs="Arial"/>
        </w:rPr>
        <w:t>The</w:t>
      </w:r>
      <w:r w:rsidR="005B6344">
        <w:rPr>
          <w:rFonts w:ascii="Arial" w:hAnsi="Arial" w:cs="Arial"/>
        </w:rPr>
        <w:t xml:space="preserve"> Norfolk Safeguarding Children</w:t>
      </w:r>
      <w:r w:rsidRPr="00C44703">
        <w:rPr>
          <w:rFonts w:ascii="Arial" w:hAnsi="Arial" w:cs="Arial"/>
        </w:rPr>
        <w:t xml:space="preserve"> </w:t>
      </w:r>
      <w:r w:rsidR="00811D7C">
        <w:rPr>
          <w:rFonts w:ascii="Arial" w:hAnsi="Arial" w:cs="Arial"/>
        </w:rPr>
        <w:t>Partnership</w:t>
      </w:r>
      <w:r w:rsidRPr="00C44703">
        <w:rPr>
          <w:rFonts w:ascii="Arial" w:hAnsi="Arial" w:cs="Arial"/>
        </w:rPr>
        <w:t xml:space="preserve"> (NSC</w:t>
      </w:r>
      <w:r w:rsidR="00811D7C">
        <w:rPr>
          <w:rFonts w:ascii="Arial" w:hAnsi="Arial" w:cs="Arial"/>
        </w:rPr>
        <w:t>P</w:t>
      </w:r>
      <w:bookmarkStart w:id="0" w:name="_GoBack"/>
      <w:bookmarkEnd w:id="0"/>
      <w:r w:rsidRPr="00C44703">
        <w:rPr>
          <w:rFonts w:ascii="Arial" w:hAnsi="Arial" w:cs="Arial"/>
        </w:rPr>
        <w:t xml:space="preserve">) will retain the following information for the </w:t>
      </w:r>
      <w:r>
        <w:rPr>
          <w:rFonts w:ascii="Arial" w:hAnsi="Arial" w:cs="Arial"/>
        </w:rPr>
        <w:t>periods set out below</w:t>
      </w:r>
      <w:r w:rsidRPr="00C44703">
        <w:rPr>
          <w:rFonts w:ascii="Arial" w:hAnsi="Arial" w:cs="Arial"/>
        </w:rPr>
        <w:t xml:space="preserve">. At the end of the periods the information will be </w:t>
      </w:r>
      <w:r w:rsidRPr="00C44703">
        <w:rPr>
          <w:rFonts w:ascii="Arial" w:eastAsia="Times New Roman" w:hAnsi="Arial" w:cs="Arial"/>
          <w:lang w:eastAsia="en-GB"/>
        </w:rPr>
        <w:t xml:space="preserve">destroyed by the </w:t>
      </w:r>
      <w:r w:rsidR="00811D7C">
        <w:rPr>
          <w:rFonts w:ascii="Arial" w:eastAsia="Times New Roman" w:hAnsi="Arial" w:cs="Arial"/>
          <w:lang w:eastAsia="en-GB"/>
        </w:rPr>
        <w:t>NSCP</w:t>
      </w:r>
      <w:r w:rsidRPr="00C44703">
        <w:rPr>
          <w:rFonts w:ascii="Arial" w:eastAsia="Times New Roman" w:hAnsi="Arial" w:cs="Arial"/>
          <w:i/>
          <w:lang w:eastAsia="en-GB"/>
        </w:rPr>
        <w:t xml:space="preserve"> </w:t>
      </w:r>
      <w:r w:rsidRPr="00C44703">
        <w:rPr>
          <w:rFonts w:ascii="Arial" w:eastAsia="Times New Roman" w:hAnsi="Arial" w:cs="Arial"/>
          <w:lang w:eastAsia="en-GB"/>
        </w:rPr>
        <w:t xml:space="preserve">in a </w:t>
      </w:r>
      <w:r w:rsidRPr="00C44703">
        <w:rPr>
          <w:rFonts w:ascii="Arial" w:eastAsia="Times New Roman" w:hAnsi="Arial" w:cs="Arial"/>
          <w:color w:val="333333"/>
          <w:lang w:eastAsia="en-GB"/>
        </w:rPr>
        <w:t>secure and confidential manner</w:t>
      </w:r>
    </w:p>
    <w:p w14:paraId="0AF4456C" w14:textId="3F7997DB" w:rsidR="00C50AD0" w:rsidRDefault="00C50AD0" w:rsidP="003120FB">
      <w:pPr>
        <w:pStyle w:val="TableParagraph"/>
        <w:tabs>
          <w:tab w:val="left" w:pos="821"/>
          <w:tab w:val="left" w:pos="822"/>
        </w:tabs>
        <w:ind w:left="0" w:firstLine="0"/>
        <w:rPr>
          <w:rFonts w:ascii="Arial" w:hAnsi="Arial" w:cs="Arial"/>
        </w:rPr>
      </w:pPr>
    </w:p>
    <w:p w14:paraId="04EAEB39" w14:textId="3AEDE7D5" w:rsidR="00F666E6" w:rsidRDefault="00C44703" w:rsidP="003120FB">
      <w:pPr>
        <w:pStyle w:val="TableParagraph"/>
        <w:tabs>
          <w:tab w:val="left" w:pos="821"/>
          <w:tab w:val="left" w:pos="822"/>
        </w:tabs>
        <w:ind w:left="0" w:firstLine="0"/>
        <w:rPr>
          <w:rFonts w:ascii="Arial" w:hAnsi="Arial" w:cs="Arial"/>
          <w:color w:val="000000"/>
        </w:rPr>
      </w:pPr>
      <w:r>
        <w:rPr>
          <w:rFonts w:ascii="Arial" w:hAnsi="Arial" w:cs="Arial"/>
        </w:rPr>
        <w:t xml:space="preserve">1. </w:t>
      </w:r>
      <w:r w:rsidR="00E37911">
        <w:rPr>
          <w:rFonts w:ascii="Arial" w:hAnsi="Arial" w:cs="Arial"/>
        </w:rPr>
        <w:t>L</w:t>
      </w:r>
      <w:r w:rsidR="00C50AD0">
        <w:rPr>
          <w:rFonts w:ascii="Arial" w:hAnsi="Arial" w:cs="Arial"/>
        </w:rPr>
        <w:t xml:space="preserve">ocal </w:t>
      </w:r>
      <w:r w:rsidR="00C62D8D">
        <w:rPr>
          <w:rFonts w:ascii="Arial" w:hAnsi="Arial" w:cs="Arial"/>
        </w:rPr>
        <w:t xml:space="preserve">and national </w:t>
      </w:r>
      <w:r w:rsidR="00C50AD0">
        <w:rPr>
          <w:rFonts w:ascii="Arial" w:hAnsi="Arial" w:cs="Arial"/>
        </w:rPr>
        <w:t>s</w:t>
      </w:r>
      <w:r w:rsidR="00C50AD0" w:rsidRPr="00203B33">
        <w:rPr>
          <w:rFonts w:ascii="Arial" w:hAnsi="Arial" w:cs="Arial"/>
        </w:rPr>
        <w:t xml:space="preserve">erious </w:t>
      </w:r>
      <w:r w:rsidR="00C50AD0">
        <w:rPr>
          <w:rFonts w:ascii="Arial" w:hAnsi="Arial" w:cs="Arial"/>
        </w:rPr>
        <w:t>c</w:t>
      </w:r>
      <w:r w:rsidR="00C50AD0" w:rsidRPr="00203B33">
        <w:rPr>
          <w:rFonts w:ascii="Arial" w:hAnsi="Arial" w:cs="Arial"/>
        </w:rPr>
        <w:t xml:space="preserve">hild </w:t>
      </w:r>
      <w:r w:rsidR="00C50AD0">
        <w:rPr>
          <w:rFonts w:ascii="Arial" w:hAnsi="Arial" w:cs="Arial"/>
        </w:rPr>
        <w:t>s</w:t>
      </w:r>
      <w:r w:rsidR="00C50AD0" w:rsidRPr="00203B33">
        <w:rPr>
          <w:rFonts w:ascii="Arial" w:hAnsi="Arial" w:cs="Arial"/>
        </w:rPr>
        <w:t xml:space="preserve">afeguarding </w:t>
      </w:r>
      <w:r w:rsidR="00C50AD0">
        <w:rPr>
          <w:rFonts w:ascii="Arial" w:hAnsi="Arial" w:cs="Arial"/>
        </w:rPr>
        <w:t>practice review</w:t>
      </w:r>
      <w:r w:rsidR="00F666E6">
        <w:rPr>
          <w:rFonts w:ascii="Arial" w:hAnsi="Arial" w:cs="Arial"/>
          <w:color w:val="000000"/>
        </w:rPr>
        <w:t xml:space="preserve"> </w:t>
      </w:r>
    </w:p>
    <w:p w14:paraId="434E983D" w14:textId="77777777" w:rsidR="00F666E6" w:rsidRPr="00F666E6" w:rsidRDefault="00F666E6" w:rsidP="003120FB">
      <w:pPr>
        <w:pStyle w:val="ListParagraph"/>
        <w:ind w:left="1080"/>
        <w:rPr>
          <w:rFonts w:ascii="Arial" w:hAnsi="Arial" w:cs="Arial"/>
          <w:color w:val="000000"/>
        </w:rPr>
      </w:pPr>
    </w:p>
    <w:p w14:paraId="7B835CFD" w14:textId="52F2A98D" w:rsidR="00C50AD0" w:rsidRDefault="00C44703" w:rsidP="003120FB">
      <w:pPr>
        <w:spacing w:after="0" w:line="240" w:lineRule="auto"/>
        <w:ind w:left="360"/>
        <w:rPr>
          <w:rFonts w:ascii="Arial" w:hAnsi="Arial" w:cs="Arial"/>
          <w:color w:val="000000"/>
        </w:rPr>
      </w:pPr>
      <w:r>
        <w:rPr>
          <w:rFonts w:ascii="Arial" w:eastAsia="Times New Roman" w:hAnsi="Arial" w:cs="Arial"/>
          <w:color w:val="000000"/>
        </w:rPr>
        <w:t xml:space="preserve">There is </w:t>
      </w:r>
      <w:r>
        <w:rPr>
          <w:rFonts w:ascii="Arial" w:hAnsi="Arial" w:cs="Arial"/>
          <w:color w:val="000000"/>
        </w:rPr>
        <w:t>n</w:t>
      </w:r>
      <w:r w:rsidR="00C50AD0" w:rsidRPr="00F666E6">
        <w:rPr>
          <w:rFonts w:ascii="Arial" w:hAnsi="Arial" w:cs="Arial"/>
          <w:color w:val="000000"/>
        </w:rPr>
        <w:t>o specific legislative retention period</w:t>
      </w:r>
      <w:r>
        <w:rPr>
          <w:rFonts w:ascii="Arial" w:hAnsi="Arial" w:cs="Arial"/>
          <w:color w:val="000000"/>
        </w:rPr>
        <w:t xml:space="preserve"> for this information. </w:t>
      </w:r>
    </w:p>
    <w:p w14:paraId="425F629C" w14:textId="77777777" w:rsidR="003120FB" w:rsidRPr="00F666E6" w:rsidRDefault="003120FB" w:rsidP="003120FB">
      <w:pPr>
        <w:spacing w:after="0" w:line="240" w:lineRule="auto"/>
        <w:ind w:left="360"/>
        <w:rPr>
          <w:rFonts w:ascii="Arial" w:hAnsi="Arial" w:cs="Arial"/>
          <w:color w:val="000000"/>
        </w:rPr>
      </w:pPr>
    </w:p>
    <w:p w14:paraId="24A904DE" w14:textId="038F0BD3" w:rsidR="00C50AD0" w:rsidRDefault="00C44703" w:rsidP="003120FB">
      <w:pPr>
        <w:spacing w:after="0" w:line="240" w:lineRule="auto"/>
        <w:ind w:left="360"/>
        <w:rPr>
          <w:rFonts w:ascii="Arial" w:eastAsia="Times New Roman" w:hAnsi="Arial" w:cs="Arial"/>
          <w:color w:val="000000"/>
          <w:lang w:eastAsia="en-GB"/>
        </w:rPr>
      </w:pPr>
      <w:r>
        <w:rPr>
          <w:rFonts w:ascii="Arial" w:eastAsia="Times New Roman" w:hAnsi="Arial" w:cs="Arial"/>
          <w:color w:val="000000"/>
          <w:lang w:eastAsia="en-GB"/>
        </w:rPr>
        <w:t>The r</w:t>
      </w:r>
      <w:r w:rsidR="00C50AD0">
        <w:rPr>
          <w:rFonts w:ascii="Arial" w:eastAsia="Times New Roman" w:hAnsi="Arial" w:cs="Arial"/>
          <w:color w:val="000000"/>
          <w:lang w:eastAsia="en-GB"/>
        </w:rPr>
        <w:t xml:space="preserve">etention </w:t>
      </w:r>
      <w:r>
        <w:rPr>
          <w:rFonts w:ascii="Arial" w:eastAsia="Times New Roman" w:hAnsi="Arial" w:cs="Arial"/>
          <w:color w:val="000000"/>
          <w:lang w:eastAsia="en-GB"/>
        </w:rPr>
        <w:t>p</w:t>
      </w:r>
      <w:r w:rsidR="00C50AD0">
        <w:rPr>
          <w:rFonts w:ascii="Arial" w:eastAsia="Times New Roman" w:hAnsi="Arial" w:cs="Arial"/>
          <w:color w:val="000000"/>
          <w:lang w:eastAsia="en-GB"/>
        </w:rPr>
        <w:t>eriod</w:t>
      </w:r>
      <w:r>
        <w:rPr>
          <w:rFonts w:ascii="Arial" w:eastAsia="Times New Roman" w:hAnsi="Arial" w:cs="Arial"/>
          <w:color w:val="000000"/>
          <w:lang w:eastAsia="en-GB"/>
        </w:rPr>
        <w:t xml:space="preserve">s shall be: </w:t>
      </w:r>
    </w:p>
    <w:p w14:paraId="032C7D83" w14:textId="71DB7EF9" w:rsidR="00F666E6" w:rsidRPr="00C62D8D" w:rsidRDefault="00F666E6" w:rsidP="003120FB">
      <w:pPr>
        <w:pStyle w:val="ListParagraph"/>
        <w:numPr>
          <w:ilvl w:val="0"/>
          <w:numId w:val="19"/>
        </w:numPr>
        <w:rPr>
          <w:rFonts w:ascii="Arial" w:hAnsi="Arial" w:cs="Arial"/>
          <w:color w:val="000000"/>
        </w:rPr>
      </w:pPr>
      <w:r w:rsidRPr="00C62D8D">
        <w:rPr>
          <w:rFonts w:ascii="Arial" w:eastAsia="Times New Roman" w:hAnsi="Arial" w:cs="Arial"/>
          <w:color w:val="000000"/>
          <w:lang w:eastAsia="en-GB"/>
        </w:rPr>
        <w:t xml:space="preserve">Records </w:t>
      </w:r>
      <w:r w:rsidRPr="00C62D8D">
        <w:rPr>
          <w:rFonts w:ascii="Arial" w:hAnsi="Arial" w:cs="Arial"/>
          <w:color w:val="000000"/>
        </w:rPr>
        <w:t xml:space="preserve">provided by Partner organisations and all records produced </w:t>
      </w:r>
      <w:r w:rsidR="00C62D8D" w:rsidRPr="00C62D8D">
        <w:rPr>
          <w:rFonts w:ascii="Arial" w:hAnsi="Arial" w:cs="Arial"/>
          <w:color w:val="000000"/>
        </w:rPr>
        <w:t xml:space="preserve">by the </w:t>
      </w:r>
      <w:r w:rsidR="00811D7C">
        <w:rPr>
          <w:rFonts w:ascii="Arial" w:hAnsi="Arial" w:cs="Arial"/>
          <w:color w:val="000000"/>
        </w:rPr>
        <w:t>NSCP</w:t>
      </w:r>
      <w:r w:rsidR="00C62D8D" w:rsidRPr="00C62D8D">
        <w:rPr>
          <w:rFonts w:ascii="Arial" w:hAnsi="Arial" w:cs="Arial"/>
          <w:color w:val="000000"/>
        </w:rPr>
        <w:t xml:space="preserve"> for</w:t>
      </w:r>
      <w:r w:rsidRPr="00C62D8D">
        <w:rPr>
          <w:rFonts w:ascii="Arial" w:hAnsi="Arial" w:cs="Arial"/>
          <w:color w:val="000000"/>
        </w:rPr>
        <w:t xml:space="preserve"> a serious case review investigation</w:t>
      </w:r>
      <w:r w:rsidR="00C44703">
        <w:rPr>
          <w:rFonts w:ascii="Arial" w:hAnsi="Arial" w:cs="Arial"/>
          <w:color w:val="000000"/>
        </w:rPr>
        <w:t>:</w:t>
      </w:r>
    </w:p>
    <w:p w14:paraId="360D1E45" w14:textId="6A323FCF" w:rsidR="00C50AD0" w:rsidRPr="00C44703" w:rsidRDefault="00C50AD0" w:rsidP="003120FB">
      <w:pPr>
        <w:pStyle w:val="ListParagraph"/>
        <w:numPr>
          <w:ilvl w:val="1"/>
          <w:numId w:val="19"/>
        </w:numPr>
        <w:rPr>
          <w:rFonts w:ascii="Arial" w:hAnsi="Arial" w:cs="Arial"/>
          <w:color w:val="000000"/>
          <w:lang w:eastAsia="en-GB"/>
        </w:rPr>
      </w:pPr>
      <w:r w:rsidRPr="00C50AD0">
        <w:rPr>
          <w:rFonts w:ascii="Arial" w:hAnsi="Arial" w:cs="Arial"/>
          <w:color w:val="000000"/>
          <w:lang w:eastAsia="en-GB"/>
        </w:rPr>
        <w:t>Either</w:t>
      </w:r>
      <w:r w:rsidR="00C44703">
        <w:rPr>
          <w:rFonts w:ascii="Arial" w:hAnsi="Arial" w:cs="Arial"/>
          <w:color w:val="000000"/>
          <w:lang w:eastAsia="en-GB"/>
        </w:rPr>
        <w:t xml:space="preserve"> </w:t>
      </w:r>
      <w:r w:rsidRPr="00C44703">
        <w:rPr>
          <w:rFonts w:ascii="Arial" w:hAnsi="Arial" w:cs="Arial"/>
          <w:color w:val="000000"/>
          <w:lang w:eastAsia="en-GB"/>
        </w:rPr>
        <w:t>until the 25th anniversary of the child's birth,</w:t>
      </w:r>
      <w:r w:rsidRPr="00C44703">
        <w:rPr>
          <w:rFonts w:ascii="Arial" w:hAnsi="Arial" w:cs="Arial"/>
          <w:color w:val="000000"/>
          <w:lang w:eastAsia="en-GB"/>
        </w:rPr>
        <w:br/>
        <w:t>or</w:t>
      </w:r>
      <w:r w:rsidR="00C44703">
        <w:rPr>
          <w:rFonts w:ascii="Arial" w:hAnsi="Arial" w:cs="Arial"/>
          <w:color w:val="000000"/>
          <w:lang w:eastAsia="en-GB"/>
        </w:rPr>
        <w:t xml:space="preserve"> </w:t>
      </w:r>
      <w:r w:rsidRPr="00C44703">
        <w:rPr>
          <w:rFonts w:ascii="Arial" w:hAnsi="Arial" w:cs="Arial"/>
          <w:color w:val="000000"/>
          <w:lang w:eastAsia="en-GB"/>
        </w:rPr>
        <w:t xml:space="preserve">if the child dies before age 18, for </w:t>
      </w:r>
      <w:r w:rsidRPr="00C44703">
        <w:rPr>
          <w:rFonts w:ascii="Arial" w:hAnsi="Arial" w:cs="Arial"/>
          <w:color w:val="000000"/>
          <w:bdr w:val="none" w:sz="0" w:space="0" w:color="auto" w:frame="1"/>
          <w:lang w:eastAsia="en-GB"/>
        </w:rPr>
        <w:t>6 years</w:t>
      </w:r>
      <w:r w:rsidRPr="00C44703">
        <w:rPr>
          <w:rFonts w:ascii="Arial" w:hAnsi="Arial" w:cs="Arial"/>
          <w:color w:val="000000"/>
          <w:lang w:eastAsia="en-GB"/>
        </w:rPr>
        <w:t xml:space="preserve"> from the date of death.</w:t>
      </w:r>
      <w:r w:rsidR="00E37911" w:rsidRPr="00C44703">
        <w:rPr>
          <w:rFonts w:ascii="Arial" w:hAnsi="Arial" w:cs="Arial"/>
          <w:color w:val="000000"/>
          <w:lang w:eastAsia="en-GB"/>
        </w:rPr>
        <w:t xml:space="preserve"> </w:t>
      </w:r>
    </w:p>
    <w:p w14:paraId="304F1ABA" w14:textId="44FCA13B" w:rsidR="00C62D8D" w:rsidRDefault="00C62D8D" w:rsidP="003120FB">
      <w:pPr>
        <w:pStyle w:val="ListParagraph"/>
        <w:numPr>
          <w:ilvl w:val="0"/>
          <w:numId w:val="19"/>
        </w:numPr>
        <w:rPr>
          <w:rFonts w:ascii="Arial" w:hAnsi="Arial" w:cs="Arial"/>
          <w:color w:val="000000"/>
        </w:rPr>
      </w:pPr>
      <w:r>
        <w:rPr>
          <w:rFonts w:ascii="Arial" w:hAnsi="Arial" w:cs="Arial"/>
          <w:color w:val="000000"/>
        </w:rPr>
        <w:t>Report produced by the Independent Lead Reviewer</w:t>
      </w:r>
      <w:r w:rsidR="00C44703">
        <w:rPr>
          <w:rFonts w:ascii="Arial" w:hAnsi="Arial" w:cs="Arial"/>
          <w:color w:val="000000"/>
        </w:rPr>
        <w:t>:</w:t>
      </w:r>
      <w:r>
        <w:rPr>
          <w:rFonts w:ascii="Arial" w:hAnsi="Arial" w:cs="Arial"/>
          <w:color w:val="000000"/>
        </w:rPr>
        <w:t xml:space="preserve">  </w:t>
      </w:r>
    </w:p>
    <w:p w14:paraId="65C12D5B" w14:textId="24C6E09C" w:rsidR="00C62D8D" w:rsidRPr="00E37911" w:rsidRDefault="00C62D8D" w:rsidP="003120FB">
      <w:pPr>
        <w:pStyle w:val="ListParagraph"/>
        <w:numPr>
          <w:ilvl w:val="1"/>
          <w:numId w:val="19"/>
        </w:numPr>
        <w:rPr>
          <w:rFonts w:ascii="Arial" w:hAnsi="Arial" w:cs="Arial"/>
          <w:color w:val="000000"/>
        </w:rPr>
      </w:pPr>
      <w:r>
        <w:rPr>
          <w:rFonts w:ascii="Arial" w:hAnsi="Arial" w:cs="Arial"/>
          <w:color w:val="000000"/>
        </w:rPr>
        <w:t>50 years</w:t>
      </w:r>
    </w:p>
    <w:p w14:paraId="3EF5E974" w14:textId="77777777" w:rsidR="00C62D8D" w:rsidRPr="005E09B3" w:rsidRDefault="00C62D8D" w:rsidP="003120FB">
      <w:pPr>
        <w:pStyle w:val="TableParagraph"/>
        <w:tabs>
          <w:tab w:val="left" w:pos="821"/>
          <w:tab w:val="left" w:pos="822"/>
        </w:tabs>
        <w:rPr>
          <w:rFonts w:ascii="Arial" w:hAnsi="Arial" w:cs="Arial"/>
        </w:rPr>
      </w:pPr>
    </w:p>
    <w:p w14:paraId="3601A015" w14:textId="6056D316" w:rsidR="00C44703" w:rsidRDefault="00C44703" w:rsidP="003120FB">
      <w:pPr>
        <w:spacing w:after="0" w:line="240" w:lineRule="auto"/>
        <w:rPr>
          <w:rFonts w:ascii="Arial" w:hAnsi="Arial" w:cs="Arial"/>
        </w:rPr>
      </w:pPr>
      <w:r>
        <w:rPr>
          <w:rFonts w:ascii="Arial" w:hAnsi="Arial" w:cs="Arial"/>
        </w:rPr>
        <w:t xml:space="preserve">2. </w:t>
      </w:r>
      <w:r w:rsidR="00E37911">
        <w:rPr>
          <w:rFonts w:ascii="Arial" w:hAnsi="Arial" w:cs="Arial"/>
        </w:rPr>
        <w:t>C</w:t>
      </w:r>
      <w:r w:rsidR="00C50AD0">
        <w:rPr>
          <w:rFonts w:ascii="Arial" w:hAnsi="Arial" w:cs="Arial"/>
        </w:rPr>
        <w:t>hild death reviews</w:t>
      </w:r>
      <w:r w:rsidR="00C62D8D">
        <w:rPr>
          <w:rFonts w:ascii="Arial" w:hAnsi="Arial" w:cs="Arial"/>
        </w:rPr>
        <w:t xml:space="preserve"> and documents created for the Child Death Overview Panel </w:t>
      </w:r>
    </w:p>
    <w:p w14:paraId="7DECD9B7" w14:textId="77777777" w:rsidR="003120FB" w:rsidRDefault="003120FB" w:rsidP="003120FB">
      <w:pPr>
        <w:spacing w:after="0" w:line="240" w:lineRule="auto"/>
        <w:rPr>
          <w:rFonts w:ascii="Calibri" w:eastAsia="Calibri" w:hAnsi="Calibri" w:cs="Calibri"/>
          <w:lang w:val="en-US"/>
        </w:rPr>
      </w:pPr>
    </w:p>
    <w:p w14:paraId="48FD020B" w14:textId="3CEBAFB8" w:rsidR="00C44703" w:rsidRDefault="00C44703" w:rsidP="003120FB">
      <w:pPr>
        <w:spacing w:after="0" w:line="240" w:lineRule="auto"/>
        <w:ind w:left="360"/>
        <w:rPr>
          <w:rFonts w:ascii="Arial" w:hAnsi="Arial" w:cs="Arial"/>
          <w:color w:val="000000"/>
        </w:rPr>
      </w:pPr>
      <w:r>
        <w:rPr>
          <w:rFonts w:ascii="Arial" w:eastAsia="Times New Roman" w:hAnsi="Arial" w:cs="Arial"/>
          <w:color w:val="000000"/>
        </w:rPr>
        <w:t xml:space="preserve">There is </w:t>
      </w:r>
      <w:r>
        <w:rPr>
          <w:rFonts w:ascii="Arial" w:hAnsi="Arial" w:cs="Arial"/>
          <w:color w:val="000000"/>
        </w:rPr>
        <w:t>n</w:t>
      </w:r>
      <w:r w:rsidRPr="00F666E6">
        <w:rPr>
          <w:rFonts w:ascii="Arial" w:hAnsi="Arial" w:cs="Arial"/>
          <w:color w:val="000000"/>
        </w:rPr>
        <w:t>o specific legislative retention period</w:t>
      </w:r>
      <w:r>
        <w:rPr>
          <w:rFonts w:ascii="Arial" w:hAnsi="Arial" w:cs="Arial"/>
          <w:color w:val="000000"/>
        </w:rPr>
        <w:t xml:space="preserve"> for this information. </w:t>
      </w:r>
    </w:p>
    <w:p w14:paraId="38C0F280" w14:textId="77777777" w:rsidR="003120FB" w:rsidRDefault="003120FB" w:rsidP="003120FB">
      <w:pPr>
        <w:spacing w:after="0" w:line="240" w:lineRule="auto"/>
        <w:ind w:left="360"/>
        <w:rPr>
          <w:rFonts w:ascii="Arial" w:hAnsi="Arial" w:cs="Arial"/>
          <w:color w:val="000000"/>
        </w:rPr>
      </w:pPr>
    </w:p>
    <w:p w14:paraId="3F179E93" w14:textId="02ACDECA" w:rsidR="00E37911" w:rsidRDefault="00C44703" w:rsidP="003120FB">
      <w:pPr>
        <w:pStyle w:val="TableParagraph"/>
        <w:tabs>
          <w:tab w:val="left" w:pos="821"/>
          <w:tab w:val="left" w:pos="822"/>
        </w:tabs>
        <w:ind w:left="461" w:firstLine="0"/>
        <w:rPr>
          <w:rFonts w:ascii="Arial" w:hAnsi="Arial" w:cs="Arial"/>
          <w:color w:val="000000"/>
        </w:rPr>
      </w:pPr>
      <w:r>
        <w:rPr>
          <w:rFonts w:ascii="Arial" w:eastAsia="Times New Roman" w:hAnsi="Arial" w:cs="Arial"/>
          <w:color w:val="000000"/>
          <w:lang w:eastAsia="en-GB"/>
        </w:rPr>
        <w:t xml:space="preserve">The retention periods shall be </w:t>
      </w:r>
      <w:r w:rsidRPr="00C62D8D">
        <w:rPr>
          <w:rFonts w:ascii="Arial" w:hAnsi="Arial" w:cs="Arial"/>
          <w:color w:val="000000"/>
        </w:rPr>
        <w:t xml:space="preserve">8 years after the date of the review of the child's death unless the child's illness or death could be relevant to an adult condition or have genetic implications for the family. In this case </w:t>
      </w:r>
      <w:r>
        <w:rPr>
          <w:rFonts w:ascii="Arial" w:hAnsi="Arial" w:cs="Arial"/>
          <w:color w:val="000000"/>
        </w:rPr>
        <w:t xml:space="preserve">the </w:t>
      </w:r>
      <w:r w:rsidRPr="00C62D8D">
        <w:rPr>
          <w:rFonts w:ascii="Arial" w:hAnsi="Arial" w:cs="Arial"/>
          <w:color w:val="000000"/>
        </w:rPr>
        <w:t>advice of clinicians should be sought as to whether to retain th</w:t>
      </w:r>
      <w:r>
        <w:rPr>
          <w:rFonts w:ascii="Arial" w:hAnsi="Arial" w:cs="Arial"/>
          <w:color w:val="000000"/>
        </w:rPr>
        <w:t>e records for a longer period.</w:t>
      </w:r>
    </w:p>
    <w:p w14:paraId="03669810" w14:textId="77777777" w:rsidR="00C44703" w:rsidRDefault="00C44703" w:rsidP="003120FB">
      <w:pPr>
        <w:pStyle w:val="TableParagraph"/>
        <w:tabs>
          <w:tab w:val="left" w:pos="821"/>
          <w:tab w:val="left" w:pos="822"/>
        </w:tabs>
        <w:ind w:left="461" w:firstLine="0"/>
        <w:rPr>
          <w:rFonts w:ascii="Arial" w:hAnsi="Arial" w:cs="Arial"/>
          <w:color w:val="000000"/>
        </w:rPr>
      </w:pPr>
    </w:p>
    <w:p w14:paraId="7028FBF8" w14:textId="77777777" w:rsidR="00C44703" w:rsidRDefault="00C44703" w:rsidP="003120FB">
      <w:pPr>
        <w:pStyle w:val="TableParagraph"/>
        <w:tabs>
          <w:tab w:val="left" w:pos="821"/>
          <w:tab w:val="left" w:pos="822"/>
        </w:tabs>
        <w:ind w:left="0" w:firstLine="0"/>
        <w:rPr>
          <w:rFonts w:ascii="Arial" w:hAnsi="Arial" w:cs="Arial"/>
        </w:rPr>
      </w:pPr>
      <w:r>
        <w:rPr>
          <w:rFonts w:ascii="Arial" w:hAnsi="Arial" w:cs="Arial"/>
        </w:rPr>
        <w:t xml:space="preserve">3.  </w:t>
      </w:r>
      <w:r w:rsidR="00E37911">
        <w:rPr>
          <w:rFonts w:ascii="Arial" w:hAnsi="Arial" w:cs="Arial"/>
        </w:rPr>
        <w:t>M</w:t>
      </w:r>
      <w:r w:rsidR="00C50AD0">
        <w:rPr>
          <w:rFonts w:ascii="Arial" w:hAnsi="Arial" w:cs="Arial"/>
        </w:rPr>
        <w:t xml:space="preserve">ulti- agency audits </w:t>
      </w:r>
      <w:r w:rsidR="00E37911">
        <w:rPr>
          <w:rFonts w:ascii="Arial" w:hAnsi="Arial" w:cs="Arial"/>
        </w:rPr>
        <w:t xml:space="preserve">– information provided by Partner organisations for the purposes of </w:t>
      </w:r>
      <w:r>
        <w:rPr>
          <w:rFonts w:ascii="Arial" w:hAnsi="Arial" w:cs="Arial"/>
        </w:rPr>
        <w:t xml:space="preserve">  </w:t>
      </w:r>
    </w:p>
    <w:p w14:paraId="082B4825" w14:textId="66531274" w:rsidR="00C50AD0" w:rsidRDefault="00C44703" w:rsidP="003120FB">
      <w:pPr>
        <w:pStyle w:val="TableParagraph"/>
        <w:tabs>
          <w:tab w:val="left" w:pos="821"/>
          <w:tab w:val="left" w:pos="822"/>
        </w:tabs>
        <w:ind w:left="0" w:firstLine="0"/>
        <w:rPr>
          <w:rFonts w:ascii="Arial" w:hAnsi="Arial" w:cs="Arial"/>
        </w:rPr>
      </w:pPr>
      <w:r>
        <w:rPr>
          <w:rFonts w:ascii="Arial" w:hAnsi="Arial" w:cs="Arial"/>
        </w:rPr>
        <w:t xml:space="preserve">     </w:t>
      </w:r>
      <w:r w:rsidR="00E37911">
        <w:rPr>
          <w:rFonts w:ascii="Arial" w:hAnsi="Arial" w:cs="Arial"/>
        </w:rPr>
        <w:t xml:space="preserve">any </w:t>
      </w:r>
      <w:r w:rsidR="00811D7C">
        <w:rPr>
          <w:rFonts w:ascii="Arial" w:hAnsi="Arial" w:cs="Arial"/>
        </w:rPr>
        <w:t>NSCP</w:t>
      </w:r>
      <w:r w:rsidR="00E37911">
        <w:rPr>
          <w:rFonts w:ascii="Arial" w:hAnsi="Arial" w:cs="Arial"/>
        </w:rPr>
        <w:t xml:space="preserve"> multi-agency audit </w:t>
      </w:r>
    </w:p>
    <w:p w14:paraId="2779B73B" w14:textId="6FAC03AD" w:rsidR="00C44703" w:rsidRDefault="00C44703" w:rsidP="003120FB">
      <w:pPr>
        <w:pStyle w:val="TableParagraph"/>
        <w:tabs>
          <w:tab w:val="left" w:pos="821"/>
          <w:tab w:val="left" w:pos="822"/>
        </w:tabs>
        <w:ind w:left="0" w:firstLine="0"/>
        <w:rPr>
          <w:rFonts w:ascii="Arial" w:hAnsi="Arial" w:cs="Arial"/>
        </w:rPr>
      </w:pPr>
    </w:p>
    <w:p w14:paraId="3F808F47" w14:textId="5D23DC02" w:rsidR="00C44703" w:rsidRDefault="00C44703" w:rsidP="003120FB">
      <w:pPr>
        <w:spacing w:after="0" w:line="240" w:lineRule="auto"/>
        <w:ind w:left="360"/>
        <w:rPr>
          <w:rFonts w:ascii="Arial" w:hAnsi="Arial" w:cs="Arial"/>
          <w:color w:val="000000"/>
        </w:rPr>
      </w:pPr>
      <w:r>
        <w:rPr>
          <w:rFonts w:ascii="Arial" w:eastAsia="Times New Roman" w:hAnsi="Arial" w:cs="Arial"/>
          <w:color w:val="000000"/>
        </w:rPr>
        <w:t xml:space="preserve">There is </w:t>
      </w:r>
      <w:r>
        <w:rPr>
          <w:rFonts w:ascii="Arial" w:hAnsi="Arial" w:cs="Arial"/>
          <w:color w:val="000000"/>
        </w:rPr>
        <w:t>n</w:t>
      </w:r>
      <w:r w:rsidRPr="00F666E6">
        <w:rPr>
          <w:rFonts w:ascii="Arial" w:hAnsi="Arial" w:cs="Arial"/>
          <w:color w:val="000000"/>
        </w:rPr>
        <w:t>o specific legislative retention period</w:t>
      </w:r>
      <w:r>
        <w:rPr>
          <w:rFonts w:ascii="Arial" w:hAnsi="Arial" w:cs="Arial"/>
          <w:color w:val="000000"/>
        </w:rPr>
        <w:t xml:space="preserve"> for this information. </w:t>
      </w:r>
    </w:p>
    <w:p w14:paraId="43BC2BD1" w14:textId="77777777" w:rsidR="003120FB" w:rsidRDefault="003120FB" w:rsidP="003120FB">
      <w:pPr>
        <w:spacing w:after="0" w:line="240" w:lineRule="auto"/>
        <w:ind w:left="360"/>
        <w:rPr>
          <w:rFonts w:ascii="Arial" w:hAnsi="Arial" w:cs="Arial"/>
          <w:color w:val="000000"/>
        </w:rPr>
      </w:pPr>
    </w:p>
    <w:p w14:paraId="32F3FE2C" w14:textId="085374C5" w:rsidR="00E37911" w:rsidRPr="00C44703" w:rsidRDefault="00C44703" w:rsidP="003120FB">
      <w:pPr>
        <w:spacing w:after="0" w:line="240" w:lineRule="auto"/>
        <w:ind w:left="360"/>
        <w:rPr>
          <w:rFonts w:ascii="Arial" w:eastAsia="Times New Roman" w:hAnsi="Arial" w:cs="Arial"/>
          <w:color w:val="000000"/>
        </w:rPr>
      </w:pPr>
      <w:r>
        <w:rPr>
          <w:rFonts w:ascii="Arial" w:hAnsi="Arial" w:cs="Arial"/>
          <w:color w:val="000000"/>
        </w:rPr>
        <w:t xml:space="preserve">The </w:t>
      </w:r>
      <w:r>
        <w:rPr>
          <w:rFonts w:ascii="Arial" w:hAnsi="Arial" w:cs="Arial"/>
        </w:rPr>
        <w:t>retention p</w:t>
      </w:r>
      <w:r w:rsidR="00E37911">
        <w:rPr>
          <w:rFonts w:ascii="Arial" w:hAnsi="Arial" w:cs="Arial"/>
        </w:rPr>
        <w:t xml:space="preserve">eriod </w:t>
      </w:r>
      <w:r>
        <w:rPr>
          <w:rFonts w:ascii="Arial" w:hAnsi="Arial" w:cs="Arial"/>
        </w:rPr>
        <w:t xml:space="preserve">is </w:t>
      </w:r>
      <w:r w:rsidR="00E37911">
        <w:rPr>
          <w:rFonts w:ascii="Arial" w:hAnsi="Arial" w:cs="Arial"/>
          <w:color w:val="000000"/>
        </w:rPr>
        <w:t>12 months</w:t>
      </w:r>
      <w:r w:rsidR="003120FB">
        <w:rPr>
          <w:rFonts w:ascii="Arial" w:hAnsi="Arial" w:cs="Arial"/>
          <w:color w:val="000000"/>
        </w:rPr>
        <w:t xml:space="preserve"> from the production of anonymis</w:t>
      </w:r>
      <w:r w:rsidR="00E37911">
        <w:rPr>
          <w:rFonts w:ascii="Arial" w:hAnsi="Arial" w:cs="Arial"/>
          <w:color w:val="000000"/>
        </w:rPr>
        <w:t xml:space="preserve">ed report to the Partners by the audit team </w:t>
      </w:r>
    </w:p>
    <w:p w14:paraId="09109A67" w14:textId="63B9FD99" w:rsidR="00C50AD0" w:rsidRDefault="00C50AD0"/>
    <w:sectPr w:rsidR="00C50AD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C9DF2" w14:textId="77777777" w:rsidR="004C7511" w:rsidRDefault="004C7511" w:rsidP="00C50AD0">
      <w:pPr>
        <w:spacing w:after="0" w:line="240" w:lineRule="auto"/>
      </w:pPr>
      <w:r>
        <w:separator/>
      </w:r>
    </w:p>
  </w:endnote>
  <w:endnote w:type="continuationSeparator" w:id="0">
    <w:p w14:paraId="284A5D3B" w14:textId="77777777" w:rsidR="004C7511" w:rsidRDefault="004C7511" w:rsidP="00C5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448501"/>
      <w:docPartObj>
        <w:docPartGallery w:val="Page Numbers (Bottom of Page)"/>
        <w:docPartUnique/>
      </w:docPartObj>
    </w:sdtPr>
    <w:sdtEndPr>
      <w:rPr>
        <w:noProof/>
      </w:rPr>
    </w:sdtEndPr>
    <w:sdtContent>
      <w:p w14:paraId="7150443A" w14:textId="77777777" w:rsidR="00C50AD0" w:rsidRDefault="00C50A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65B3C" w14:textId="77777777" w:rsidR="00C50AD0" w:rsidRDefault="00C50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B21FB" w14:textId="77777777" w:rsidR="004C7511" w:rsidRDefault="004C7511" w:rsidP="00C50AD0">
      <w:pPr>
        <w:spacing w:after="0" w:line="240" w:lineRule="auto"/>
      </w:pPr>
      <w:r>
        <w:separator/>
      </w:r>
    </w:p>
  </w:footnote>
  <w:footnote w:type="continuationSeparator" w:id="0">
    <w:p w14:paraId="25763E5E" w14:textId="77777777" w:rsidR="004C7511" w:rsidRDefault="004C7511" w:rsidP="00C5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B7ABB" w14:textId="0FE26CC6" w:rsidR="005B6344" w:rsidRDefault="00811D7C">
    <w:pPr>
      <w:pStyle w:val="Header"/>
    </w:pPr>
    <w:r>
      <w:t>NSCP</w:t>
    </w:r>
    <w:r w:rsidR="00C50AD0">
      <w:t xml:space="preserve"> Retention and Destruction Schedule </w:t>
    </w:r>
    <w:r w:rsidR="005B6344">
      <w:t>v1.0</w:t>
    </w:r>
  </w:p>
  <w:p w14:paraId="2AC51CAF" w14:textId="77777777" w:rsidR="00C50AD0" w:rsidRDefault="00C50AD0">
    <w:pPr>
      <w:pStyle w:val="Header"/>
    </w:pPr>
  </w:p>
  <w:p w14:paraId="66EA28B5" w14:textId="77777777" w:rsidR="00C50AD0" w:rsidRDefault="00C5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63A7"/>
    <w:multiLevelType w:val="hybridMultilevel"/>
    <w:tmpl w:val="75442540"/>
    <w:lvl w:ilvl="0" w:tplc="4F1C7366">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6454F6"/>
    <w:multiLevelType w:val="hybridMultilevel"/>
    <w:tmpl w:val="4D1E0DD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01774F"/>
    <w:multiLevelType w:val="hybridMultilevel"/>
    <w:tmpl w:val="F5986D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323723"/>
    <w:multiLevelType w:val="hybridMultilevel"/>
    <w:tmpl w:val="D460E646"/>
    <w:lvl w:ilvl="0" w:tplc="08090001">
      <w:start w:val="1"/>
      <w:numFmt w:val="bullet"/>
      <w:lvlText w:val=""/>
      <w:lvlJc w:val="left"/>
      <w:pPr>
        <w:ind w:left="360" w:hanging="360"/>
      </w:pPr>
      <w:rPr>
        <w:rFonts w:ascii="Symbol" w:hAnsi="Symbol" w:hint="default"/>
      </w:rPr>
    </w:lvl>
    <w:lvl w:ilvl="1" w:tplc="4F1C7366">
      <w:start w:val="3"/>
      <w:numFmt w:val="bullet"/>
      <w:lvlText w:val="-"/>
      <w:lvlJc w:val="left"/>
      <w:pPr>
        <w:ind w:left="1080" w:hanging="360"/>
      </w:pPr>
      <w:rPr>
        <w:rFonts w:ascii="Arial" w:eastAsiaTheme="minorHAnsi" w:hAnsi="Arial" w:cs="Arial" w:hint="default"/>
      </w:rPr>
    </w:lvl>
    <w:lvl w:ilvl="2" w:tplc="5874C416">
      <w:start w:val="5"/>
      <w:numFmt w:val="bullet"/>
      <w:lvlText w:val="-"/>
      <w:lvlJc w:val="left"/>
      <w:pPr>
        <w:ind w:left="1800" w:hanging="360"/>
      </w:pPr>
      <w:rPr>
        <w:rFonts w:ascii="&amp;quot" w:eastAsiaTheme="minorHAnsi" w:hAnsi="&amp;quot" w:cstheme="minorBidi" w:hint="default"/>
      </w:rPr>
    </w:lvl>
    <w:lvl w:ilvl="3" w:tplc="4F1C7366">
      <w:start w:val="3"/>
      <w:numFmt w:val="bullet"/>
      <w:lvlText w:val="-"/>
      <w:lvlJc w:val="left"/>
      <w:pPr>
        <w:ind w:left="2520" w:hanging="360"/>
      </w:pPr>
      <w:rPr>
        <w:rFonts w:ascii="Arial" w:eastAsiaTheme="minorHAnsi"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B50A9"/>
    <w:multiLevelType w:val="hybridMultilevel"/>
    <w:tmpl w:val="571EB1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F1C7366">
      <w:start w:val="3"/>
      <w:numFmt w:val="bullet"/>
      <w:lvlText w:val="-"/>
      <w:lvlJc w:val="left"/>
      <w:pPr>
        <w:ind w:left="2520" w:hanging="360"/>
      </w:pPr>
      <w:rPr>
        <w:rFonts w:ascii="Arial" w:eastAsiaTheme="minorHAnsi"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E5170F"/>
    <w:multiLevelType w:val="hybridMultilevel"/>
    <w:tmpl w:val="AEE8A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AF21B7"/>
    <w:multiLevelType w:val="hybridMultilevel"/>
    <w:tmpl w:val="3578B4B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322B7E"/>
    <w:multiLevelType w:val="hybridMultilevel"/>
    <w:tmpl w:val="84ECD432"/>
    <w:lvl w:ilvl="0" w:tplc="4F1C7366">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841564"/>
    <w:multiLevelType w:val="hybridMultilevel"/>
    <w:tmpl w:val="BE14B786"/>
    <w:lvl w:ilvl="0" w:tplc="5874C416">
      <w:start w:val="5"/>
      <w:numFmt w:val="bullet"/>
      <w:lvlText w:val="-"/>
      <w:lvlJc w:val="left"/>
      <w:pPr>
        <w:ind w:left="1080" w:hanging="360"/>
      </w:pPr>
      <w:rPr>
        <w:rFonts w:ascii="&amp;quot" w:eastAsiaTheme="minorHAnsi" w:hAnsi="&amp;quo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AA508C2"/>
    <w:multiLevelType w:val="hybridMultilevel"/>
    <w:tmpl w:val="64BA8B3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B014CE"/>
    <w:multiLevelType w:val="hybridMultilevel"/>
    <w:tmpl w:val="A7CE01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1" w15:restartNumberingAfterBreak="0">
    <w:nsid w:val="49127D98"/>
    <w:multiLevelType w:val="hybridMultilevel"/>
    <w:tmpl w:val="E9CE4A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CE4EB7"/>
    <w:multiLevelType w:val="hybridMultilevel"/>
    <w:tmpl w:val="1CCC3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C5EB0"/>
    <w:multiLevelType w:val="hybridMultilevel"/>
    <w:tmpl w:val="9E744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E60FC7"/>
    <w:multiLevelType w:val="hybridMultilevel"/>
    <w:tmpl w:val="AD4CD19A"/>
    <w:lvl w:ilvl="0" w:tplc="08090001">
      <w:start w:val="1"/>
      <w:numFmt w:val="bullet"/>
      <w:lvlText w:val=""/>
      <w:lvlJc w:val="left"/>
      <w:pPr>
        <w:ind w:left="360" w:hanging="360"/>
      </w:pPr>
      <w:rPr>
        <w:rFonts w:ascii="Symbol" w:hAnsi="Symbol" w:hint="default"/>
      </w:rPr>
    </w:lvl>
    <w:lvl w:ilvl="1" w:tplc="4F1C7366">
      <w:start w:val="3"/>
      <w:numFmt w:val="bullet"/>
      <w:lvlText w:val="-"/>
      <w:lvlJc w:val="left"/>
      <w:pPr>
        <w:ind w:left="1080"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4F1C7366">
      <w:start w:val="3"/>
      <w:numFmt w:val="bullet"/>
      <w:lvlText w:val="-"/>
      <w:lvlJc w:val="left"/>
      <w:pPr>
        <w:ind w:left="2520" w:hanging="360"/>
      </w:pPr>
      <w:rPr>
        <w:rFonts w:ascii="Arial" w:eastAsiaTheme="minorHAnsi"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4F6254"/>
    <w:multiLevelType w:val="hybridMultilevel"/>
    <w:tmpl w:val="080AE4CA"/>
    <w:lvl w:ilvl="0" w:tplc="08090003">
      <w:start w:val="1"/>
      <w:numFmt w:val="bullet"/>
      <w:lvlText w:val="o"/>
      <w:lvlJc w:val="left"/>
      <w:pPr>
        <w:ind w:left="1182" w:hanging="360"/>
      </w:pPr>
      <w:rPr>
        <w:rFonts w:ascii="Courier New" w:hAnsi="Courier New" w:cs="Courier New"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6" w15:restartNumberingAfterBreak="0">
    <w:nsid w:val="6D4F2D4D"/>
    <w:multiLevelType w:val="hybridMultilevel"/>
    <w:tmpl w:val="211C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77BB5"/>
    <w:multiLevelType w:val="hybridMultilevel"/>
    <w:tmpl w:val="33C8C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53EF4"/>
    <w:multiLevelType w:val="hybridMultilevel"/>
    <w:tmpl w:val="B768B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06B72"/>
    <w:multiLevelType w:val="hybridMultilevel"/>
    <w:tmpl w:val="A1326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18"/>
  </w:num>
  <w:num w:numId="5">
    <w:abstractNumId w:val="17"/>
  </w:num>
  <w:num w:numId="6">
    <w:abstractNumId w:val="12"/>
  </w:num>
  <w:num w:numId="7">
    <w:abstractNumId w:val="14"/>
  </w:num>
  <w:num w:numId="8">
    <w:abstractNumId w:val="0"/>
  </w:num>
  <w:num w:numId="9">
    <w:abstractNumId w:val="7"/>
  </w:num>
  <w:num w:numId="10">
    <w:abstractNumId w:val="1"/>
  </w:num>
  <w:num w:numId="11">
    <w:abstractNumId w:val="6"/>
  </w:num>
  <w:num w:numId="12">
    <w:abstractNumId w:val="3"/>
  </w:num>
  <w:num w:numId="13">
    <w:abstractNumId w:val="2"/>
  </w:num>
  <w:num w:numId="14">
    <w:abstractNumId w:val="9"/>
  </w:num>
  <w:num w:numId="15">
    <w:abstractNumId w:val="4"/>
  </w:num>
  <w:num w:numId="16">
    <w:abstractNumId w:val="8"/>
  </w:num>
  <w:num w:numId="17">
    <w:abstractNumId w:val="11"/>
  </w:num>
  <w:num w:numId="18">
    <w:abstractNumId w:val="16"/>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D0"/>
    <w:rsid w:val="0018603F"/>
    <w:rsid w:val="003120FB"/>
    <w:rsid w:val="003C2C11"/>
    <w:rsid w:val="003F1C18"/>
    <w:rsid w:val="004C7511"/>
    <w:rsid w:val="005B6344"/>
    <w:rsid w:val="00811D7C"/>
    <w:rsid w:val="009A2871"/>
    <w:rsid w:val="00B57ED8"/>
    <w:rsid w:val="00C44703"/>
    <w:rsid w:val="00C50AD0"/>
    <w:rsid w:val="00C57058"/>
    <w:rsid w:val="00C62D8D"/>
    <w:rsid w:val="00E37911"/>
    <w:rsid w:val="00E64AFA"/>
    <w:rsid w:val="00F134A8"/>
    <w:rsid w:val="00F6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BBAD"/>
  <w15:chartTrackingRefBased/>
  <w15:docId w15:val="{2C56B8D3-CE2B-4834-A23B-E710B8EF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50AD0"/>
    <w:pPr>
      <w:widowControl w:val="0"/>
      <w:autoSpaceDE w:val="0"/>
      <w:autoSpaceDN w:val="0"/>
      <w:spacing w:after="0" w:line="240" w:lineRule="auto"/>
      <w:ind w:left="821" w:hanging="360"/>
    </w:pPr>
    <w:rPr>
      <w:rFonts w:ascii="Calibri" w:eastAsia="Calibri" w:hAnsi="Calibri" w:cs="Calibri"/>
      <w:lang w:val="en-US"/>
    </w:rPr>
  </w:style>
  <w:style w:type="paragraph" w:styleId="Header">
    <w:name w:val="header"/>
    <w:basedOn w:val="Normal"/>
    <w:link w:val="HeaderChar"/>
    <w:uiPriority w:val="99"/>
    <w:unhideWhenUsed/>
    <w:rsid w:val="00C50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AD0"/>
  </w:style>
  <w:style w:type="paragraph" w:styleId="Footer">
    <w:name w:val="footer"/>
    <w:basedOn w:val="Normal"/>
    <w:link w:val="FooterChar"/>
    <w:uiPriority w:val="99"/>
    <w:unhideWhenUsed/>
    <w:rsid w:val="00C50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AD0"/>
  </w:style>
  <w:style w:type="character" w:styleId="Hyperlink">
    <w:name w:val="Hyperlink"/>
    <w:basedOn w:val="DefaultParagraphFont"/>
    <w:uiPriority w:val="99"/>
    <w:unhideWhenUsed/>
    <w:rsid w:val="00C50AD0"/>
    <w:rPr>
      <w:color w:val="0563C1" w:themeColor="hyperlink"/>
      <w:u w:val="single"/>
    </w:rPr>
  </w:style>
  <w:style w:type="character" w:styleId="UnresolvedMention">
    <w:name w:val="Unresolved Mention"/>
    <w:basedOn w:val="DefaultParagraphFont"/>
    <w:uiPriority w:val="99"/>
    <w:semiHidden/>
    <w:unhideWhenUsed/>
    <w:rsid w:val="00C50AD0"/>
    <w:rPr>
      <w:color w:val="808080"/>
      <w:shd w:val="clear" w:color="auto" w:fill="E6E6E6"/>
    </w:rPr>
  </w:style>
  <w:style w:type="paragraph" w:styleId="ListParagraph">
    <w:name w:val="List Paragraph"/>
    <w:basedOn w:val="Normal"/>
    <w:uiPriority w:val="34"/>
    <w:qFormat/>
    <w:rsid w:val="00C50AD0"/>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C44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CEAC-CDA2-4478-84BD-8BFC8AAB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Pam</dc:creator>
  <cp:keywords/>
  <dc:description/>
  <cp:lastModifiedBy>McGarry, Abigail</cp:lastModifiedBy>
  <cp:revision>2</cp:revision>
  <dcterms:created xsi:type="dcterms:W3CDTF">2021-07-22T11:02:00Z</dcterms:created>
  <dcterms:modified xsi:type="dcterms:W3CDTF">2021-07-22T11:02:00Z</dcterms:modified>
</cp:coreProperties>
</file>